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For the month of October 2018 No.6</w:t>
      </w:r>
    </w:p>
    <w:p>
      <w:pPr>
        <w:spacing w:after="0" w:line="221" w:lineRule="exact"/>
        <w:rPr>
          <w:sz w:val="24"/>
          <w:szCs w:val="24"/>
          <w:color w:val="auto"/>
        </w:rPr>
      </w:pPr>
    </w:p>
    <w:p>
      <w:pPr>
        <w:jc w:val="center"/>
        <w:ind w:right="-3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(Translation of registrant's name into English)</w:t>
      </w:r>
    </w:p>
    <w:p>
      <w:pPr>
        <w:spacing w:after="0" w:line="26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1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29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29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778" w:right="539" w:bottom="1440" w:gutter="0" w:footer="0" w:header="0"/>
        </w:sectPr>
      </w:pPr>
    </w:p>
    <w:bookmarkStart w:id="1" w:name="page2"/>
    <w:bookmarkEnd w:id="1"/>
    <w:p>
      <w:pPr>
        <w:ind w:firstLine="639"/>
        <w:spacing w:after="0" w:line="277" w:lineRule="auto"/>
        <w:rPr>
          <w:sz w:val="20"/>
          <w:szCs w:val="20"/>
          <w:color w:val="auto"/>
        </w:rPr>
      </w:pPr>
      <w:r>
        <w:rPr>
          <w:rFonts w:ascii="Arial" w:cs="Arial" w:eastAsia="Arial" w:hAnsi="Arial"/>
          <w:sz w:val="18"/>
          <w:szCs w:val="18"/>
          <w:color w:val="auto"/>
        </w:rPr>
        <w:t>On October 29, 2018, the Registrant announced its financial results for the nine and the three months ended September 30, 2018. Attached hereto is the following exhibit.</w:t>
      </w:r>
    </w:p>
    <w:p>
      <w:pPr>
        <w:spacing w:after="0" w:line="1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u w:val="single" w:color="auto"/>
          <w:color w:val="0000EE"/>
        </w:rPr>
        <w:t>Exhibit 99.1</w:t>
      </w:r>
      <w:r>
        <w:rPr>
          <w:sz w:val="20"/>
          <w:szCs w:val="20"/>
          <w:color w:val="auto"/>
        </w:rPr>
        <w:tab/>
      </w:r>
      <w:r>
        <w:rPr>
          <w:rFonts w:ascii="Arial" w:cs="Arial" w:eastAsia="Arial" w:hAnsi="Arial"/>
          <w:sz w:val="15"/>
          <w:szCs w:val="15"/>
          <w:u w:val="single" w:color="auto"/>
          <w:color w:val="0000EE"/>
        </w:rPr>
        <w:t>Press release dated October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29,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3837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751840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343535</wp:posOffset>
            </wp:positionV>
            <wp:extent cx="1226185" cy="523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2618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auto"/>
        </w:rPr>
        <w:t>TowerJazz Reports Revenues of $323 million with Net Profit</w:t>
      </w:r>
    </w:p>
    <w:p>
      <w:pPr>
        <w:spacing w:after="0" w:line="28" w:lineRule="exact"/>
        <w:rPr>
          <w:sz w:val="20"/>
          <w:szCs w:val="20"/>
          <w:color w:val="auto"/>
        </w:rPr>
      </w:pPr>
    </w:p>
    <w:p>
      <w:pPr>
        <w:jc w:val="center"/>
        <w:ind w:left="480"/>
        <w:spacing w:after="0"/>
        <w:rPr>
          <w:sz w:val="20"/>
          <w:szCs w:val="20"/>
          <w:color w:val="auto"/>
        </w:rPr>
      </w:pPr>
      <w:r>
        <w:rPr>
          <w:rFonts w:ascii="Arial" w:cs="Arial" w:eastAsia="Arial" w:hAnsi="Arial"/>
          <w:sz w:val="22"/>
          <w:szCs w:val="22"/>
          <w:b w:val="1"/>
          <w:bCs w:val="1"/>
          <w:color w:val="auto"/>
        </w:rPr>
        <w:t>of $34 million for the Third Quarter of 2018</w:t>
      </w:r>
    </w:p>
    <w:p>
      <w:pPr>
        <w:spacing w:after="0" w:line="276" w:lineRule="exact"/>
        <w:rPr>
          <w:sz w:val="20"/>
          <w:szCs w:val="20"/>
          <w:color w:val="auto"/>
        </w:rPr>
      </w:pPr>
    </w:p>
    <w:p>
      <w:pPr>
        <w:ind w:left="3380"/>
        <w:spacing w:after="0"/>
        <w:rPr>
          <w:sz w:val="20"/>
          <w:szCs w:val="20"/>
          <w:color w:val="auto"/>
        </w:rPr>
      </w:pPr>
      <w:r>
        <w:rPr>
          <w:rFonts w:ascii="Arial" w:cs="Arial" w:eastAsia="Arial" w:hAnsi="Arial"/>
          <w:sz w:val="18"/>
          <w:szCs w:val="18"/>
          <w:b w:val="1"/>
          <w:bCs w:val="1"/>
          <w:i w:val="1"/>
          <w:iCs w:val="1"/>
          <w:color w:val="auto"/>
        </w:rPr>
        <w:t>Guides fourth quarter revenues of ~$340 million, up 5% sequentially</w:t>
      </w:r>
    </w:p>
    <w:p>
      <w:pPr>
        <w:spacing w:after="0" w:line="27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MIGDAL HAEMEK, ISRAEL – October 29, 2018 – </w:t>
      </w:r>
      <w:r>
        <w:rPr>
          <w:rFonts w:ascii="Arial" w:cs="Arial" w:eastAsia="Arial" w:hAnsi="Arial"/>
          <w:sz w:val="18"/>
          <w:szCs w:val="18"/>
          <w:color w:val="auto"/>
        </w:rPr>
        <w:t>TowerJazz (NASDAQ: TSEM &amp; TASE: TSEM) reported today its results for the third quarter ended</w:t>
      </w:r>
      <w:r>
        <w:rPr>
          <w:rFonts w:ascii="Arial" w:cs="Arial" w:eastAsia="Arial" w:hAnsi="Arial"/>
          <w:sz w:val="18"/>
          <w:szCs w:val="18"/>
          <w:b w:val="1"/>
          <w:bCs w:val="1"/>
          <w:color w:val="auto"/>
        </w:rPr>
        <w:t xml:space="preserve"> </w:t>
      </w:r>
      <w:r>
        <w:rPr>
          <w:rFonts w:ascii="Arial" w:cs="Arial" w:eastAsia="Arial" w:hAnsi="Arial"/>
          <w:sz w:val="18"/>
          <w:szCs w:val="18"/>
          <w:color w:val="auto"/>
        </w:rPr>
        <w:t>September 30, 2018.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of $323 million resulting in EBITDA of $89 million, and net profit of $34 million with $0.34 basic earnings per share;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from operations of $69 million with free cash flow of $29 million;</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generation from operations year-to-date of $221 million, with $315 million net cash balance as of September 30,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Further strengthened balance sheet:</w:t>
      </w:r>
    </w:p>
    <w:p>
      <w:pPr>
        <w:spacing w:after="0" w:line="225" w:lineRule="exact"/>
        <w:rPr>
          <w:sz w:val="20"/>
          <w:szCs w:val="20"/>
          <w:color w:val="auto"/>
        </w:rPr>
      </w:pPr>
    </w:p>
    <w:p>
      <w:pPr>
        <w:ind w:left="1300" w:hanging="44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$98 million reduction in debt, saving $7 million annual financing expenses:</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Full conversion of the $58 million of Jazz notes, resulting in no remaining Jazz subsidiary debt;</w:t>
      </w:r>
    </w:p>
    <w:p>
      <w:pPr>
        <w:spacing w:after="0" w:line="225" w:lineRule="exact"/>
        <w:rPr>
          <w:rFonts w:ascii="Arial" w:cs="Arial" w:eastAsia="Arial" w:hAnsi="Arial"/>
          <w:sz w:val="18"/>
          <w:szCs w:val="18"/>
          <w:color w:val="auto"/>
        </w:rPr>
      </w:pPr>
    </w:p>
    <w:p>
      <w:pPr>
        <w:ind w:left="1960" w:hanging="331"/>
        <w:spacing w:after="0"/>
        <w:tabs>
          <w:tab w:leader="none" w:pos="1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Early repayment of $40 million San Antonio fab subsidiary loan;</w:t>
      </w:r>
    </w:p>
    <w:p>
      <w:pPr>
        <w:spacing w:after="0" w:line="225" w:lineRule="exact"/>
        <w:rPr>
          <w:rFonts w:ascii="Arial" w:cs="Arial" w:eastAsia="Arial" w:hAnsi="Arial"/>
          <w:sz w:val="18"/>
          <w:szCs w:val="18"/>
          <w:color w:val="auto"/>
        </w:rPr>
      </w:pPr>
    </w:p>
    <w:p>
      <w:pPr>
        <w:ind w:left="1300" w:hanging="44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shareholders’ equity reaching $1.15 billion as of September 30,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fourth quarter of 2018 are expected to be approximately $340 million, with a range of ±5%, up 5% sequentially.</w:t>
      </w:r>
    </w:p>
    <w:p>
      <w:pPr>
        <w:spacing w:after="0" w:line="2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Mr. Russell Ellwanger, Chief Executive Officer of TowerJazz</w:t>
      </w:r>
      <w:r>
        <w:rPr>
          <w:rFonts w:ascii="Arial" w:cs="Arial" w:eastAsia="Arial" w:hAnsi="Arial"/>
          <w:sz w:val="18"/>
          <w:szCs w:val="18"/>
          <w:color w:val="auto"/>
        </w:rPr>
        <w:t>,</w:t>
      </w:r>
      <w:r>
        <w:rPr>
          <w:rFonts w:ascii="Arial" w:cs="Arial" w:eastAsia="Arial" w:hAnsi="Arial"/>
          <w:sz w:val="18"/>
          <w:szCs w:val="18"/>
          <w:b w:val="1"/>
          <w:bCs w:val="1"/>
          <w:color w:val="auto"/>
        </w:rPr>
        <w:t xml:space="preserve"> commented, </w:t>
      </w:r>
      <w:r>
        <w:rPr>
          <w:rFonts w:ascii="Arial" w:cs="Arial" w:eastAsia="Arial" w:hAnsi="Arial"/>
          <w:sz w:val="18"/>
          <w:szCs w:val="18"/>
          <w:color w:val="auto"/>
        </w:rPr>
        <w:t>“We entered the year having decided to focus on profitability, rather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utilizing valuable capacity for lower margin businesses. This has had a greater than expected revenue impact in 2018 while building the higher value mix and with some high-end replacements not having met customer forecasts. The present overall market softness has had a recent notable impact across our business units, with a fourth quarter revenue roll-up lower than previous expectations.However, we expect to see fourth quarter margins increase as a result of this much richer products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4" w:name="page5"/>
    <w:bookmarkEnd w:id="4"/>
    <w:p>
      <w:pPr>
        <w:jc w:val="both"/>
        <w:spacing w:after="0" w:line="295" w:lineRule="auto"/>
        <w:rPr>
          <w:sz w:val="20"/>
          <w:szCs w:val="20"/>
          <w:color w:val="auto"/>
        </w:rPr>
      </w:pPr>
      <w:r>
        <w:rPr>
          <w:rFonts w:ascii="Arial" w:cs="Arial" w:eastAsia="Arial" w:hAnsi="Arial"/>
          <w:sz w:val="16"/>
          <w:szCs w:val="16"/>
          <w:b w:val="1"/>
          <w:bCs w:val="1"/>
          <w:color w:val="auto"/>
        </w:rPr>
        <w:t>Ellwanger further added</w:t>
      </w:r>
      <w:r>
        <w:rPr>
          <w:rFonts w:ascii="Arial" w:cs="Arial" w:eastAsia="Arial" w:hAnsi="Arial"/>
          <w:sz w:val="16"/>
          <w:szCs w:val="16"/>
          <w:color w:val="auto"/>
        </w:rPr>
        <w:t>: “We are confident with our activities – advancing our technical roadmaps with associated strong customer traction. Having visited</w:t>
      </w:r>
      <w:r>
        <w:rPr>
          <w:rFonts w:ascii="Arial" w:cs="Arial" w:eastAsia="Arial" w:hAnsi="Arial"/>
          <w:sz w:val="16"/>
          <w:szCs w:val="16"/>
          <w:b w:val="1"/>
          <w:bCs w:val="1"/>
          <w:color w:val="auto"/>
        </w:rPr>
        <w:t xml:space="preserve"> </w:t>
      </w:r>
      <w:r>
        <w:rPr>
          <w:rFonts w:ascii="Arial" w:cs="Arial" w:eastAsia="Arial" w:hAnsi="Arial"/>
          <w:sz w:val="16"/>
          <w:szCs w:val="16"/>
          <w:color w:val="auto"/>
        </w:rPr>
        <w:t>lead customer partners for each of our business groups over the past few months, we are convinced that our focus and engagements are industry leading. Having entered major new long-term contracts with undisputed tier-1 customers for our most advanced technologies namely 300mm RFSOI and power management, having been awarded breakthrough applications for image sensors, seamless continuation of customer engagements to our newest most advanced 300GHz SiGe platforms, and in the midst of several revolutionary seed technical developments for SiPho, new proprietary switch and display technologies, we have a base of technology and customer engagements that will provide engines for growth for the next several years”.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 Summary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Revenues for the third quarter of 2018 were $323 million, compared to $335 million in the prior quarter and $355 million in the third quarter of 2017.</w:t>
      </w: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and operating profits for the third quarter of 2018 were $73 million and $39 million, respectively, as compared to $79 million and $44 million, respectively, in the prior quarter, and as compared to $89 million and $55 million in the third quarter of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EBITDA for the third quarter of 2018 was $89 million, representing a 28% EBITDA margin.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profit for the third quarter of 2018 was $34 million, or $0.34 basic earnings per share and $0.33 diluted earnings per share, as compared to $38 million or $0.38 basic earnings per share and $0.37 diluted earnings per share in the prior quarter and as compared to $55 million or $0.56 basic earnings per share and $0.54 diluted earnings per share in the third quarter of 2017.</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Jazz short term notes, originally due December 2018, in the amount of $58 million were fully converted to TSEM shares, resulting in zero outstanding principal and annual cash savings of $5 million. $19 million of the $58 million were converted during the third quarter of 2018 and $39 million during October 2018. Post conversion, the current outstanding share count is 105 million and fully diluted share count remains at 108 million, similar to previous quarters.</w:t>
      </w: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Free cash flow for the quarter was $29 million, with $69 million cash flow generated from operations and $41 million invested in fixed assets, net. The other main cash activities during the third quarter of 2018 were $43 million of debt repaid, net of debt received, which included mainly the early repayment of the $40 million loan borrowed in 2016 from JA Mitsui in relation to the acquisition of the San Antonio fab from Maxim and its ramp.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Cash (including marketable securities), net of gross debt, as of September 30, 2018, totaled $315 million as compared to net cash of $226 million as of December 31,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 as of September 30, 2018 totaled to $1.15 billion, as compared to $1.03 billion as of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Teleconference and Webcast</w:t>
      </w:r>
    </w:p>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TowerJazz will host an investor conference call today, Monday, October 29, 2018, at 10:00 a.m. Eastern time (9:00 a.m. Central time, 8:00 a.m. Mountain time, 7:00 a.m. Pacific time and 4:00 p.m. Israel time) to discuss the Company’s financial results for the third quarter 2018 and its outlook.</w:t>
      </w:r>
    </w:p>
    <w:p>
      <w:pPr>
        <w:spacing w:after="0" w:line="20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call will be webcast and can be accessed via TowerJazz’s website, or by calling 1-888-668-9141 (U.S. Toll-Free), 03-918-0609 (Israel), +972-3-918-0609 (International). For those who are not available to listen to the live broadcast, the call will be archived on TowerJazz’s website for 90 days.</w:t>
      </w:r>
    </w:p>
    <w:p>
      <w:pPr>
        <w:spacing w:after="0" w:line="20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The Company presents its financial statements in accordance with U.S. GAAP. The financial information included in the tables below includes unaudited condensed financial data. Some of the financial information in this release, which we describe in this release as “adjusted” financial measures, is non-GAAP financial measures as defined in Regulation G and related reporting requirements promulgated by the Securities and Exchange Commission as they apply to our Company. These adjusted financial measures are calculated excluding one or more of the following: (1) amortization of acquired intangible assets and</w:t>
      </w:r>
    </w:p>
    <w:p>
      <w:pPr>
        <w:spacing w:after="0" w:line="2" w:lineRule="exact"/>
        <w:rPr>
          <w:sz w:val="20"/>
          <w:szCs w:val="20"/>
          <w:color w:val="auto"/>
        </w:rPr>
      </w:pPr>
    </w:p>
    <w:p>
      <w:pPr>
        <w:jc w:val="both"/>
        <w:ind w:firstLine="8"/>
        <w:spacing w:after="0" w:line="283" w:lineRule="auto"/>
        <w:tabs>
          <w:tab w:leader="none" w:pos="29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as well as calculated in the tables herein, the term Earnings Before Interest Tax Depreciation and Amortization (EBITDA) consists of net profit in accordance with GAAP, excluding financing expenses, net, other income (expense),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should not be considered in isolation or as a substitute for operating profit, net profit, cash flows provided by operating, investing and financing activities, per share data or other profit or cash flow statement data prepared in accordance with GAAP. The term Net Cash, as used and/ or presented in this release, is comprised of cash, cash equivalents and marketable securities (in the amounts of $608 million and $560 million as of September 30, 2018 and December 31, 2017, respectively) less the outstanding principal amount of bank loans (in the amounts of $97 million and $138 million as of September 30, 2018 and December 31, 2017, respectively), the outstanding principal amount of capital leases (in the amounts of $35 million and $16 million as of September 30, 2018 and December 31, 2017, respectively) and the outstanding principal amount of debentures (in the amount of $161 million and $180 million as of September 30, 2018 and December 31, 2017, respectively).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In addition, the term Free Cash Flow, as used and/ or presented in this release, is calculated to be cash from operating activities (in the amounts of $69 million, $77 million and $</w:t>
      </w:r>
      <w:r>
        <w:rPr>
          <w:rFonts w:ascii="Arial" w:cs="Arial" w:eastAsia="Arial" w:hAnsi="Arial"/>
          <w:sz w:val="16"/>
          <w:szCs w:val="16"/>
          <w:color w:val="auto"/>
        </w:rPr>
        <w:t>104</w:t>
      </w:r>
      <w:r>
        <w:rPr>
          <w:rFonts w:ascii="Arial" w:cs="Arial" w:eastAsia="Arial" w:hAnsi="Arial"/>
          <w:sz w:val="16"/>
          <w:szCs w:val="16"/>
          <w:i w:val="1"/>
          <w:iCs w:val="1"/>
          <w:color w:val="auto"/>
        </w:rPr>
        <w:t xml:space="preserve"> million for the three month periods ended September 30, 2018, June 30, 2018 and September 30, 2017, respectively) less cash for investments in property and equipment, net (in the amounts of $41 million, $40 million and $</w:t>
      </w:r>
      <w:r>
        <w:rPr>
          <w:rFonts w:ascii="Arial" w:cs="Arial" w:eastAsia="Arial" w:hAnsi="Arial"/>
          <w:sz w:val="16"/>
          <w:szCs w:val="16"/>
          <w:color w:val="auto"/>
        </w:rPr>
        <w:t>42</w:t>
      </w:r>
      <w:r>
        <w:rPr>
          <w:rFonts w:ascii="Arial" w:cs="Arial" w:eastAsia="Arial" w:hAnsi="Arial"/>
          <w:sz w:val="16"/>
          <w:szCs w:val="16"/>
          <w:i w:val="1"/>
          <w:iCs w:val="1"/>
          <w:color w:val="auto"/>
        </w:rPr>
        <w:t xml:space="preserve"> million for the three month periods ended September 30, 2018, June 30, 2018 and September 30, 2017,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579755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27" w:lineRule="exact"/>
        <w:rPr>
          <w:sz w:val="20"/>
          <w:szCs w:val="20"/>
          <w:color w:val="auto"/>
        </w:rPr>
      </w:pPr>
    </w:p>
    <w:p>
      <w:pPr>
        <w:ind w:right="5560"/>
        <w:spacing w:after="0" w:line="323" w:lineRule="auto"/>
        <w:rPr>
          <w:sz w:val="20"/>
          <w:szCs w:val="20"/>
          <w:color w:val="auto"/>
        </w:rPr>
      </w:pPr>
      <w:r>
        <w:rPr>
          <w:rFonts w:ascii="Arial" w:cs="Arial" w:eastAsia="Arial" w:hAnsi="Arial"/>
          <w:sz w:val="16"/>
          <w:szCs w:val="16"/>
          <w:color w:val="auto"/>
        </w:rPr>
        <w:t xml:space="preserve">Noit Levy-Karoubi | TowerJazz | +972 4 604 7066 | </w:t>
      </w:r>
      <w:r>
        <w:rPr>
          <w:rFonts w:ascii="Arial" w:cs="Arial" w:eastAsia="Arial" w:hAnsi="Arial"/>
          <w:sz w:val="16"/>
          <w:szCs w:val="16"/>
          <w:u w:val="single" w:color="auto"/>
          <w:color w:val="auto"/>
        </w:rPr>
        <w:t>Noit.levi@towerjazz.com</w:t>
      </w:r>
      <w:r>
        <w:rPr>
          <w:rFonts w:ascii="Arial" w:cs="Arial" w:eastAsia="Arial" w:hAnsi="Arial"/>
          <w:sz w:val="16"/>
          <w:szCs w:val="16"/>
          <w:color w:val="auto"/>
        </w:rPr>
        <w:t xml:space="preserve"> GK Investor Relations | Gavriel Frohwein, (646) 688 3559 | </w:t>
      </w:r>
      <w:r>
        <w:rPr>
          <w:rFonts w:ascii="Arial" w:cs="Arial" w:eastAsia="Arial" w:hAnsi="Arial"/>
          <w:sz w:val="16"/>
          <w:szCs w:val="16"/>
          <w:u w:val="single" w:color="auto"/>
          <w:color w:val="auto"/>
        </w:rPr>
        <w:t>towerjazz@gkir.com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 w:name="page8"/>
    <w:bookmarkEnd w:id="7"/>
    <w:p>
      <w:pPr>
        <w:ind w:right="60"/>
        <w:spacing w:after="0" w:line="284" w:lineRule="auto"/>
        <w:rPr>
          <w:sz w:val="20"/>
          <w:szCs w:val="20"/>
          <w:color w:val="auto"/>
        </w:rPr>
      </w:pPr>
      <w:r>
        <w:rPr>
          <w:rFonts w:ascii="Arial" w:cs="Arial" w:eastAsia="Arial" w:hAnsi="Arial"/>
          <w:sz w:val="16"/>
          <w:szCs w:val="16"/>
          <w:i w:val="1"/>
          <w:iCs w:val="1"/>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operation with no interruption at times of high utilization in certain areas, and/ or at times of possible bottlenecks, power outages, water leaks, contamination events, chemical leaks or other issues, which may adversely affect our cycle time, yield, and on schedule delivery, customer satisfaction, revenue and margins, (v) operating results fluctuate from quarter to quarter making it difficult to predict future performance, (vi) impact of our debt and other liabilities on our financial position and operations,</w:t>
      </w:r>
    </w:p>
    <w:p>
      <w:pPr>
        <w:spacing w:after="0" w:line="3" w:lineRule="exact"/>
        <w:rPr>
          <w:sz w:val="20"/>
          <w:szCs w:val="20"/>
          <w:color w:val="auto"/>
        </w:rPr>
      </w:pPr>
    </w:p>
    <w:p>
      <w:pPr>
        <w:ind w:right="80" w:firstLine="8"/>
        <w:spacing w:after="0" w:line="281" w:lineRule="auto"/>
        <w:tabs>
          <w:tab w:leader="none" w:pos="345"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our ability to successfully execute acquisitions, integrate them into our business, utilize our expanded capacity and find new business, (viii) fluctuations in cash flow, (ix) our ability to satisfy the covenants stipulated in our agreements with our lender banks and bondholders (as of September 30, 2018 we are in compliance with all such covenants included in our banks’ agreements, bond G indenture and others), (x) obtaining new customer engagements, products qualification and production ramp-up of the TPSCo facilities and our San Antonio facility, (xi) landlord’s claims with respect to the lease of the fab 3 facility;</w:t>
      </w:r>
    </w:p>
    <w:p>
      <w:pPr>
        <w:spacing w:after="0" w:line="2" w:lineRule="exact"/>
        <w:rPr>
          <w:rFonts w:ascii="Arial" w:cs="Arial" w:eastAsia="Arial" w:hAnsi="Arial"/>
          <w:sz w:val="16"/>
          <w:szCs w:val="16"/>
          <w:i w:val="1"/>
          <w:iCs w:val="1"/>
          <w:color w:val="auto"/>
        </w:rPr>
      </w:pPr>
    </w:p>
    <w:p>
      <w:pPr>
        <w:ind w:firstLine="8"/>
        <w:spacing w:after="0" w:line="266" w:lineRule="auto"/>
        <w:tabs>
          <w:tab w:leader="none" w:pos="345"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meeting the conditions set in the approval certificates received from the Israeli Investment Center,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retention of key employees and recruitment and retention of skilled qualified personnel, (xxxi) exposure to inflation, currency rates (mainly the Israeli Shekel and Japanese Yen), interest rate fluctuations and risks associated with doing business locally and internationally, as well fluctuations in the market price of our traded securities, (xxxii)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(xxxiii) meeting regulatory requirements worldwide, including environmental and governmental regulations, (xxxiv) realization of the fab establishment project in China, including obtaining required project funding, negotiation and closure of definitive agreements in relation thereto, licensing of technologies, receipt of payment milestones to Tower, qualification and ramp of process flows and products to enable mass production for customers and attain revenue to levels that would cover the facility’s fixed costs, and (xxxv) business interruption due to fire and other natural disasters, the security situation in Israel and other events beyond our control such as power interruptions.</w:t>
      </w:r>
    </w:p>
    <w:p>
      <w:pPr>
        <w:spacing w:after="0" w:line="24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4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464,446</w:t>
            </w:r>
          </w:p>
        </w:tc>
        <w:tc>
          <w:tcPr>
            <w:tcW w:w="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143,041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Trade accounts receivable</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163,747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149,666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Inventories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159,507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143,315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Other current assets</w:t>
            </w:r>
          </w:p>
        </w:tc>
        <w:tc>
          <w:tcPr>
            <w:tcW w:w="100" w:type="dxa"/>
            <w:vAlign w:val="bottom"/>
          </w:tcPr>
          <w:p>
            <w:pPr>
              <w:spacing w:after="0"/>
              <w:rPr>
                <w:sz w:val="19"/>
                <w:szCs w:val="19"/>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20,967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951,708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874,332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31,179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639,042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635,124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DEFERRED TAX AND OTHER LONG-TERM ASSETS, NET</w:t>
            </w: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96,722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1,740,657</w:t>
            </w:r>
          </w:p>
        </w:tc>
        <w:tc>
          <w:tcPr>
            <w:tcW w:w="8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1,673,639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Short-term debt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45,697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Trade accounts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114,375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Deferred revenue and customers' advances</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10,059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14,338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liabilities</w:t>
            </w:r>
          </w:p>
        </w:tc>
        <w:tc>
          <w:tcPr>
            <w:tcW w:w="10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72,160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242,291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302,373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247,757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29,978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LONG-TERM EMPLOYEE RELATED LIABILITIES</w:t>
            </w: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14,649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LIABILITIES</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52,696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587,371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643,933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8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1,153,286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1,029,706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4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1,740,657</w:t>
            </w:r>
          </w:p>
        </w:tc>
        <w:tc>
          <w:tcPr>
            <w:tcW w:w="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1,673,639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9" w:name="page10"/>
    <w:bookmarkEnd w:id="9"/>
    <w:p>
      <w:pPr>
        <w:jc w:val="center"/>
        <w:ind w:left="260" w:right="23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center"/>
              <w:ind w:left="810"/>
              <w:spacing w:after="0"/>
              <w:rPr>
                <w:sz w:val="20"/>
                <w:szCs w:val="20"/>
                <w:color w:val="auto"/>
              </w:rPr>
            </w:pPr>
            <w:r>
              <w:rPr>
                <w:rFonts w:ascii="Arial" w:cs="Arial" w:eastAsia="Arial" w:hAnsi="Arial"/>
                <w:sz w:val="18"/>
                <w:szCs w:val="18"/>
                <w:b w:val="1"/>
                <w:bCs w:val="1"/>
                <w:color w:val="auto"/>
                <w:w w:val="89"/>
              </w:rPr>
              <w:t>Three months ended</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322,596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335,138</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354,557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249,975</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256,610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265,439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72,621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78,528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18,173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15,826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16,115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34,062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34,288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33,916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38,559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44,240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55,202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FINANCING EXPENSE, NET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(2,497)</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OTHER INCOME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1,578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36,062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38,787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50,907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INCOME TAX BENEFIT (EXPENSE), NET</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(2,388)</w:t>
            </w:r>
          </w:p>
        </w:tc>
        <w:tc>
          <w:tcPr>
            <w:tcW w:w="18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(2,778)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PROFIT BEFORE NON CONTROLLING INTEREST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33,674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36,009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54,241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NON CONTROLLING INTEREST</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1,733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33,646</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37,742</w:t>
            </w:r>
          </w:p>
        </w:tc>
        <w:tc>
          <w:tcPr>
            <w:tcW w:w="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55,274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0.38</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100,158</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98,888</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97,947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0.37</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33,646</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37,742</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57,519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102,083</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101,066</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106,384</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0" w:name="page11"/>
    <w:bookmarkEnd w:id="10"/>
    <w:p>
      <w:pPr>
        <w:ind w:left="34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36"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RECONCILIATION OF CERTAIN FINANCIAL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 count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left="690"/>
              <w:spacing w:after="0"/>
              <w:rPr>
                <w:sz w:val="20"/>
                <w:szCs w:val="20"/>
                <w:color w:val="auto"/>
              </w:rPr>
            </w:pPr>
            <w:r>
              <w:rPr>
                <w:rFonts w:ascii="Arial" w:cs="Arial" w:eastAsia="Arial" w:hAnsi="Arial"/>
                <w:sz w:val="18"/>
                <w:szCs w:val="18"/>
                <w:b w:val="1"/>
                <w:bCs w:val="1"/>
                <w:color w:val="auto"/>
                <w:w w:val="89"/>
              </w:rPr>
              <w:t>Three months ended</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w:t>
            </w:r>
          </w:p>
        </w:tc>
        <w:tc>
          <w:tcPr>
            <w:tcW w:w="2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GAAP NET PROFIT</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33,646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37,742</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2,710</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1,652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NET PROFIT</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37,983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42,072</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61,185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NET PROFIT PER SHARE:</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Basic</w:t>
            </w: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0.43</w:t>
            </w:r>
          </w:p>
        </w:tc>
        <w:tc>
          <w:tcPr>
            <w:tcW w:w="2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Diluted</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0.42</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Fully diluted</w:t>
            </w: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0.41</w:t>
            </w:r>
          </w:p>
        </w:tc>
        <w:tc>
          <w:tcPr>
            <w:tcW w:w="2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ADJUSTED NET PROFIT USED TO CALCULATE PER SHARE DATA:</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Basic</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37,983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42,072</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Diluted</w:t>
            </w: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37,983</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44,463</w:t>
            </w:r>
          </w:p>
        </w:tc>
        <w:tc>
          <w:tcPr>
            <w:tcW w:w="2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Fully diluted</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40,149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44,463</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NUMBER OF SHARES AND OTHER SECURITIES USED TO CALCULATE PER SHARE DATA:</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Basic</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100,158</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98,888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Diluted</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102,083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106,856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Fully diluted</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108,146</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107,880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107,729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EBITDA CALCULATION:</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GAAP OPERATING PROFIT</w:t>
            </w: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38,559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44,240</w:t>
            </w:r>
          </w:p>
        </w:tc>
        <w:tc>
          <w:tcPr>
            <w:tcW w:w="26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Depreciation of fixed assets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46,172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46,978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2,710</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2,678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1,627</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1,652</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EBITDA</w:t>
            </w:r>
          </w:p>
        </w:tc>
        <w:tc>
          <w:tcPr>
            <w:tcW w:w="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89,068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95,548</w:t>
            </w: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108,657</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1" w:name="page12"/>
    <w:bookmarkEnd w:id="11"/>
    <w:p>
      <w:pPr>
        <w:jc w:val="center"/>
        <w:ind w:left="260" w:right="2380"/>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OPERATIONS (UNAUDITED) (dollars and share count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r>
      <w:tr>
        <w:trPr>
          <w:trHeight w:val="223"/>
        </w:trPr>
        <w:tc>
          <w:tcPr>
            <w:tcW w:w="68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r>
      <w:tr>
        <w:trPr>
          <w:trHeight w:val="223"/>
        </w:trPr>
        <w:tc>
          <w:tcPr>
            <w:tcW w:w="68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30"/>
        </w:trPr>
        <w:tc>
          <w:tcPr>
            <w:tcW w:w="6800" w:type="dxa"/>
            <w:vAlign w:val="bottom"/>
          </w:tcPr>
          <w:p>
            <w:pPr>
              <w:spacing w:after="0"/>
              <w:rPr>
                <w:sz w:val="19"/>
                <w:szCs w:val="19"/>
                <w:color w:val="auto"/>
              </w:rPr>
            </w:pPr>
          </w:p>
        </w:tc>
        <w:tc>
          <w:tcPr>
            <w:tcW w:w="226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000" w:type="dxa"/>
            <w:vAlign w:val="bottom"/>
            <w:gridSpan w:val="2"/>
          </w:tcPr>
          <w:p>
            <w:pPr>
              <w:spacing w:after="0"/>
              <w:rPr>
                <w:sz w:val="19"/>
                <w:szCs w:val="19"/>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2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970,444</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1,029,696</w:t>
            </w:r>
          </w:p>
        </w:tc>
      </w:tr>
      <w:tr>
        <w:trPr>
          <w:trHeight w:val="216"/>
        </w:trPr>
        <w:tc>
          <w:tcPr>
            <w:tcW w:w="6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23"/>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COST OF REVENUES</w:t>
            </w:r>
          </w:p>
        </w:tc>
        <w:tc>
          <w:tcPr>
            <w:tcW w:w="20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753,130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764,749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23"/>
        </w:trPr>
        <w:tc>
          <w:tcPr>
            <w:tcW w:w="68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GROSS PROFIT</w:t>
            </w:r>
          </w:p>
        </w:tc>
        <w:tc>
          <w:tcPr>
            <w:tcW w:w="2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217,314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264,947</w:t>
            </w:r>
          </w:p>
        </w:tc>
      </w:tr>
      <w:tr>
        <w:trPr>
          <w:trHeight w:val="216"/>
        </w:trPr>
        <w:tc>
          <w:tcPr>
            <w:tcW w:w="68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COSTS AND EXPENSES:</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68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Research and development</w:t>
            </w: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54,675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49,294</w:t>
            </w:r>
          </w:p>
        </w:tc>
      </w:tr>
      <w:tr>
        <w:trPr>
          <w:trHeight w:val="223"/>
        </w:trPr>
        <w:tc>
          <w:tcPr>
            <w:tcW w:w="6800" w:type="dxa"/>
            <w:vAlign w:val="bottom"/>
          </w:tcPr>
          <w:p>
            <w:pPr>
              <w:ind w:left="340"/>
              <w:spacing w:after="0"/>
              <w:rPr>
                <w:sz w:val="20"/>
                <w:szCs w:val="20"/>
                <w:color w:val="auto"/>
              </w:rPr>
            </w:pPr>
            <w:r>
              <w:rPr>
                <w:rFonts w:ascii="Arial" w:cs="Arial" w:eastAsia="Arial" w:hAnsi="Arial"/>
                <w:sz w:val="18"/>
                <w:szCs w:val="18"/>
                <w:b w:val="1"/>
                <w:bCs w:val="1"/>
                <w:color w:val="auto"/>
              </w:rPr>
              <w:t>Marketing, general and administrative</w:t>
            </w:r>
          </w:p>
        </w:tc>
        <w:tc>
          <w:tcPr>
            <w:tcW w:w="2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47,935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50,297</w:t>
            </w:r>
          </w:p>
        </w:tc>
        <w:tc>
          <w:tcPr>
            <w:tcW w:w="10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68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99,591</w:t>
            </w:r>
          </w:p>
        </w:tc>
        <w:tc>
          <w:tcPr>
            <w:tcW w:w="100" w:type="dxa"/>
            <w:vAlign w:val="bottom"/>
          </w:tcPr>
          <w:p>
            <w:pPr>
              <w:spacing w:after="0"/>
              <w:rPr>
                <w:sz w:val="18"/>
                <w:szCs w:val="18"/>
                <w:color w:val="auto"/>
              </w:rPr>
            </w:pPr>
          </w:p>
        </w:tc>
      </w:tr>
      <w:tr>
        <w:trPr>
          <w:trHeight w:val="21"/>
        </w:trPr>
        <w:tc>
          <w:tcPr>
            <w:tcW w:w="6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6800" w:type="dxa"/>
            <w:vAlign w:val="bottom"/>
          </w:tcPr>
          <w:p>
            <w:pPr>
              <w:ind w:left="500"/>
              <w:spacing w:after="0"/>
              <w:rPr>
                <w:sz w:val="20"/>
                <w:szCs w:val="20"/>
                <w:color w:val="auto"/>
              </w:rPr>
            </w:pPr>
            <w:r>
              <w:rPr>
                <w:rFonts w:ascii="Arial" w:cs="Arial" w:eastAsia="Arial" w:hAnsi="Arial"/>
                <w:sz w:val="18"/>
                <w:szCs w:val="18"/>
                <w:b w:val="1"/>
                <w:bCs w:val="1"/>
                <w:color w:val="auto"/>
              </w:rPr>
              <w:t>OPERATING PROFIT</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114,704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165,356</w:t>
            </w:r>
          </w:p>
        </w:tc>
      </w:tr>
      <w:tr>
        <w:trPr>
          <w:trHeight w:val="216"/>
        </w:trPr>
        <w:tc>
          <w:tcPr>
            <w:tcW w:w="6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6800" w:type="dxa"/>
            <w:vAlign w:val="bottom"/>
          </w:tcPr>
          <w:p>
            <w:pPr>
              <w:ind w:left="180"/>
              <w:spacing w:after="0"/>
              <w:rPr>
                <w:sz w:val="20"/>
                <w:szCs w:val="20"/>
                <w:color w:val="auto"/>
              </w:rPr>
            </w:pPr>
            <w:r>
              <w:rPr>
                <w:rFonts w:ascii="Arial" w:cs="Arial" w:eastAsia="Arial" w:hAnsi="Arial"/>
                <w:sz w:val="18"/>
                <w:szCs w:val="18"/>
                <w:b w:val="1"/>
                <w:bCs w:val="1"/>
                <w:color w:val="auto"/>
              </w:rPr>
              <w:t>FINANCING EXPENSE, NET</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(13,283)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(11,394)</w:t>
            </w:r>
          </w:p>
        </w:tc>
      </w:tr>
      <w:tr>
        <w:trPr>
          <w:trHeight w:val="216"/>
        </w:trPr>
        <w:tc>
          <w:tcPr>
            <w:tcW w:w="6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23"/>
        </w:trPr>
        <w:tc>
          <w:tcPr>
            <w:tcW w:w="6800" w:type="dxa"/>
            <w:vAlign w:val="bottom"/>
          </w:tcPr>
          <w:p>
            <w:pPr>
              <w:ind w:left="180"/>
              <w:spacing w:after="0"/>
              <w:rPr>
                <w:sz w:val="20"/>
                <w:szCs w:val="20"/>
                <w:color w:val="auto"/>
              </w:rPr>
            </w:pPr>
            <w:r>
              <w:rPr>
                <w:rFonts w:ascii="Arial" w:cs="Arial" w:eastAsia="Arial" w:hAnsi="Arial"/>
                <w:sz w:val="18"/>
                <w:szCs w:val="18"/>
                <w:b w:val="1"/>
                <w:bCs w:val="1"/>
                <w:color w:val="auto"/>
              </w:rPr>
              <w:t>OTHER INCOME, NET</w:t>
            </w:r>
          </w:p>
        </w:tc>
        <w:tc>
          <w:tcPr>
            <w:tcW w:w="20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6800" w:type="dxa"/>
            <w:vAlign w:val="bottom"/>
          </w:tcPr>
          <w:p>
            <w:pPr>
              <w:ind w:left="500"/>
              <w:spacing w:after="0"/>
              <w:rPr>
                <w:sz w:val="20"/>
                <w:szCs w:val="20"/>
                <w:color w:val="auto"/>
              </w:rPr>
            </w:pPr>
            <w:r>
              <w:rPr>
                <w:rFonts w:ascii="Arial" w:cs="Arial" w:eastAsia="Arial" w:hAnsi="Arial"/>
                <w:sz w:val="18"/>
                <w:szCs w:val="18"/>
                <w:b w:val="1"/>
                <w:bCs w:val="1"/>
                <w:color w:val="auto"/>
              </w:rPr>
              <w:t>PROFIT BEFORE INCOME TAX</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102,985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154,362</w:t>
            </w:r>
          </w:p>
        </w:tc>
      </w:tr>
      <w:tr>
        <w:trPr>
          <w:trHeight w:val="216"/>
        </w:trPr>
        <w:tc>
          <w:tcPr>
            <w:tcW w:w="6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23"/>
        </w:trPr>
        <w:tc>
          <w:tcPr>
            <w:tcW w:w="6800" w:type="dxa"/>
            <w:vAlign w:val="bottom"/>
          </w:tcPr>
          <w:p>
            <w:pPr>
              <w:ind w:left="180"/>
              <w:spacing w:after="0"/>
              <w:rPr>
                <w:sz w:val="20"/>
                <w:szCs w:val="20"/>
                <w:color w:val="auto"/>
              </w:rPr>
            </w:pPr>
            <w:r>
              <w:rPr>
                <w:rFonts w:ascii="Arial" w:cs="Arial" w:eastAsia="Arial" w:hAnsi="Arial"/>
                <w:sz w:val="18"/>
                <w:szCs w:val="18"/>
                <w:b w:val="1"/>
                <w:bCs w:val="1"/>
                <w:color w:val="auto"/>
              </w:rPr>
              <w:t>INCOME TAX EXPENSE, NET</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(6,121)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(1,348)</w:t>
            </w:r>
          </w:p>
        </w:tc>
      </w:tr>
      <w:tr>
        <w:trPr>
          <w:trHeight w:val="257"/>
        </w:trPr>
        <w:tc>
          <w:tcPr>
            <w:tcW w:w="680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16"/>
        </w:trPr>
        <w:tc>
          <w:tcPr>
            <w:tcW w:w="6800" w:type="dxa"/>
            <w:vAlign w:val="bottom"/>
          </w:tcPr>
          <w:p>
            <w:pPr>
              <w:ind w:left="500"/>
              <w:spacing w:after="0"/>
              <w:rPr>
                <w:sz w:val="20"/>
                <w:szCs w:val="20"/>
                <w:color w:val="auto"/>
              </w:rPr>
            </w:pPr>
            <w:r>
              <w:rPr>
                <w:rFonts w:ascii="Arial" w:cs="Arial" w:eastAsia="Arial" w:hAnsi="Arial"/>
                <w:sz w:val="18"/>
                <w:szCs w:val="18"/>
                <w:b w:val="1"/>
                <w:bCs w:val="1"/>
                <w:color w:val="auto"/>
              </w:rPr>
              <w:t>PROFIT BEFORE NON CONTROLLING INTEREST</w:t>
            </w: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96,864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153,014</w:t>
            </w:r>
          </w:p>
        </w:tc>
      </w:tr>
      <w:tr>
        <w:trPr>
          <w:trHeight w:val="216"/>
        </w:trPr>
        <w:tc>
          <w:tcPr>
            <w:tcW w:w="68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23"/>
        </w:trPr>
        <w:tc>
          <w:tcPr>
            <w:tcW w:w="6800" w:type="dxa"/>
            <w:vAlign w:val="bottom"/>
          </w:tcPr>
          <w:p>
            <w:pPr>
              <w:ind w:left="180"/>
              <w:spacing w:after="0"/>
              <w:rPr>
                <w:sz w:val="20"/>
                <w:szCs w:val="20"/>
                <w:color w:val="auto"/>
              </w:rPr>
            </w:pPr>
            <w:r>
              <w:rPr>
                <w:rFonts w:ascii="Arial" w:cs="Arial" w:eastAsia="Arial" w:hAnsi="Arial"/>
                <w:sz w:val="18"/>
                <w:szCs w:val="18"/>
                <w:b w:val="1"/>
                <w:bCs w:val="1"/>
                <w:color w:val="auto"/>
              </w:rPr>
              <w:t>NON CONTROLLING INTEREST</w:t>
            </w: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(2,214)</w:t>
            </w:r>
          </w:p>
        </w:tc>
      </w:tr>
      <w:tr>
        <w:trPr>
          <w:trHeight w:val="257"/>
        </w:trPr>
        <w:tc>
          <w:tcPr>
            <w:tcW w:w="6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PROFIT</w:t>
            </w:r>
          </w:p>
        </w:tc>
        <w:tc>
          <w:tcPr>
            <w:tcW w:w="2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97,506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80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57"/>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EARNINGS PER SHARE</w:t>
            </w:r>
          </w:p>
        </w:tc>
        <w:tc>
          <w:tcPr>
            <w:tcW w:w="2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0.98</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1.57</w:t>
            </w:r>
          </w:p>
        </w:tc>
      </w:tr>
      <w:tr>
        <w:trPr>
          <w:trHeight w:val="210"/>
        </w:trPr>
        <w:tc>
          <w:tcPr>
            <w:tcW w:w="68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0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99,186</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96,085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6800" w:type="dxa"/>
            <w:vAlign w:val="bottom"/>
          </w:tcPr>
          <w:p>
            <w:pPr>
              <w:spacing w:after="0"/>
              <w:rPr>
                <w:sz w:val="18"/>
                <w:szCs w:val="18"/>
                <w:color w:val="auto"/>
              </w:rPr>
            </w:pPr>
          </w:p>
        </w:tc>
        <w:tc>
          <w:tcPr>
            <w:tcW w:w="22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57"/>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2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0.96</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1.49</w:t>
            </w:r>
          </w:p>
        </w:tc>
      </w:tr>
      <w:tr>
        <w:trPr>
          <w:trHeight w:val="210"/>
        </w:trPr>
        <w:tc>
          <w:tcPr>
            <w:tcW w:w="68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2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97,506</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157,403</w:t>
            </w:r>
          </w:p>
        </w:tc>
      </w:tr>
      <w:tr>
        <w:trPr>
          <w:trHeight w:val="210"/>
        </w:trPr>
        <w:tc>
          <w:tcPr>
            <w:tcW w:w="680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101,424</w:t>
            </w: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105,664</w:t>
            </w:r>
          </w:p>
        </w:tc>
      </w:tr>
      <w:tr>
        <w:trPr>
          <w:trHeight w:val="419"/>
        </w:trPr>
        <w:tc>
          <w:tcPr>
            <w:tcW w:w="6800" w:type="dxa"/>
            <w:vAlign w:val="bottom"/>
            <w:tcBorders>
              <w:top w:val="single" w:sz="8" w:color="CCEEFF"/>
              <w:bottom w:val="single" w:sz="8" w:color="auto"/>
            </w:tcBorders>
          </w:tcPr>
          <w:p>
            <w:pPr>
              <w:spacing w:after="0"/>
              <w:rPr>
                <w:sz w:val="24"/>
                <w:szCs w:val="24"/>
                <w:color w:val="auto"/>
              </w:rPr>
            </w:pPr>
          </w:p>
        </w:tc>
        <w:tc>
          <w:tcPr>
            <w:tcW w:w="20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2" w:name="page13"/>
    <w:bookmarkEnd w:id="12"/>
    <w:p>
      <w:pPr>
        <w:ind w:left="34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20" w:type="dxa"/>
            <w:vAlign w:val="bottom"/>
          </w:tcPr>
          <w:p>
            <w:pPr>
              <w:ind w:left="4860"/>
              <w:spacing w:after="0"/>
              <w:rPr>
                <w:sz w:val="20"/>
                <w:szCs w:val="20"/>
                <w:color w:val="auto"/>
              </w:rPr>
            </w:pPr>
            <w:r>
              <w:rPr>
                <w:rFonts w:ascii="Arial" w:cs="Arial" w:eastAsia="Arial" w:hAnsi="Arial"/>
                <w:sz w:val="18"/>
                <w:szCs w:val="18"/>
                <w:b w:val="1"/>
                <w:bCs w:val="1"/>
                <w:color w:val="auto"/>
              </w:rPr>
              <w:t>(dollars in thousands)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89"/>
              </w:rPr>
              <w:t>Three months ended</w:t>
            </w: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w w:val="87"/>
              </w:rPr>
              <w:t>September 30,</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486,880</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464,661</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483,603</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69,471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76,929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103,916</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0"/>
              </w:rPr>
              <w: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(40,892)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(40,148)</w:t>
            </w:r>
          </w:p>
        </w:tc>
        <w:tc>
          <w:tcPr>
            <w:tcW w:w="240" w:type="dxa"/>
            <w:vAlign w:val="bottom"/>
          </w:tcPr>
          <w:p>
            <w:pPr>
              <w:spacing w:after="0"/>
              <w:rPr>
                <w:sz w:val="18"/>
                <w:szCs w:val="18"/>
                <w:color w:val="auto"/>
              </w:rPr>
            </w:pPr>
          </w:p>
        </w:tc>
        <w:tc>
          <w:tcPr>
            <w:tcW w:w="12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(41,708)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1,027</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160"/>
              <w:spacing w:after="0"/>
              <w:rPr>
                <w:sz w:val="20"/>
                <w:szCs w:val="20"/>
                <w:color w:val="auto"/>
              </w:rPr>
            </w:pPr>
            <w:r>
              <w:rPr>
                <w:rFonts w:ascii="Arial" w:cs="Arial" w:eastAsia="Arial" w:hAnsi="Arial"/>
                <w:sz w:val="18"/>
                <w:szCs w:val="18"/>
                <w:b w:val="1"/>
                <w:bCs w:val="1"/>
                <w:color w:val="auto"/>
              </w:rPr>
              <w:t>Debt received (repaid), net</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(43,078)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3,809</w:t>
            </w:r>
          </w:p>
        </w:tc>
        <w:tc>
          <w:tcPr>
            <w:tcW w:w="240" w:type="dxa"/>
            <w:vAlign w:val="bottom"/>
          </w:tcPr>
          <w:p>
            <w:pPr>
              <w:spacing w:after="0"/>
              <w:rPr>
                <w:sz w:val="18"/>
                <w:szCs w:val="18"/>
                <w:color w:val="auto"/>
              </w:rPr>
            </w:pPr>
          </w:p>
        </w:tc>
        <w:tc>
          <w:tcPr>
            <w:tcW w:w="12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(15,932)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(3,057)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(2,909)</w:t>
            </w: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(630)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ind w:left="160"/>
              <w:spacing w:after="0"/>
              <w:rPr>
                <w:sz w:val="20"/>
                <w:szCs w:val="20"/>
                <w:color w:val="auto"/>
              </w:rPr>
            </w:pPr>
            <w:r>
              <w:rPr>
                <w:rFonts w:ascii="Arial" w:cs="Arial" w:eastAsia="Arial" w:hAnsi="Arial"/>
                <w:sz w:val="18"/>
                <w:szCs w:val="18"/>
                <w:b w:val="1"/>
                <w:bCs w:val="1"/>
                <w:color w:val="auto"/>
              </w:rPr>
              <w:t>Investments in marketable securities and other assets, net</w:t>
            </w:r>
          </w:p>
        </w:tc>
        <w:tc>
          <w:tcPr>
            <w:tcW w:w="24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(4,899)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(15,488)</w:t>
            </w:r>
          </w:p>
        </w:tc>
        <w:tc>
          <w:tcPr>
            <w:tcW w:w="240" w:type="dxa"/>
            <w:vAlign w:val="bottom"/>
          </w:tcPr>
          <w:p>
            <w:pPr>
              <w:spacing w:after="0"/>
              <w:rPr>
                <w:sz w:val="19"/>
                <w:szCs w:val="19"/>
                <w:color w:val="auto"/>
              </w:rPr>
            </w:pPr>
          </w:p>
        </w:tc>
        <w:tc>
          <w:tcPr>
            <w:tcW w:w="12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(49,869)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464,446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486,880</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480,407</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2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28,579</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36,781</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62,208</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(a) Cash from operations for the three months ended September 30, 2017 included $18,000 received from Tacoma as announced on August 21,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Nine months ended</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2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SHORT-TERM DEPOSITS - BEGINNING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445,961</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389,377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 from operations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221,401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270,350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(121,087)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(123,368)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705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28,037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(45,925)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(33,392)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3,650</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b w:val="1"/>
                <w:bCs w:val="1"/>
                <w:color w:val="auto"/>
              </w:rPr>
              <w:t>TPSCo dividend to Panasonic</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(4,378)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marketable securities and other assets, net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(35,350)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(49,869)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AND SHORT-TERM DEPOSITS - END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464,446</w:t>
            </w:r>
          </w:p>
        </w:tc>
        <w:tc>
          <w:tcPr>
            <w:tcW w:w="140" w:type="dxa"/>
            <w:vAlign w:val="bottom"/>
            <w:shd w:val="clear" w:color="auto" w:fill="CCEEFF"/>
          </w:tcPr>
          <w:p>
            <w:pPr>
              <w:spacing w:after="0"/>
              <w:rPr>
                <w:sz w:val="22"/>
                <w:szCs w:val="22"/>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480,407</w:t>
            </w: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100,314</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146,982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 Cash from operations for the nine months ended September 30, 2017 included $18,000 received from Tacoma as announced on August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88"/>
              </w:rPr>
              <w:t>Three months ended</w:t>
            </w:r>
          </w:p>
        </w:tc>
        <w:tc>
          <w:tcPr>
            <w:tcW w:w="9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 for the period</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33,674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36,009</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52,764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53,493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64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(4,797)</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expense (income),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(18,351)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64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(919)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5,713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Inventories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(7,237)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(6,713)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10,222</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(5,466)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9,378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640"/>
              <w:spacing w:after="0"/>
              <w:rPr>
                <w:sz w:val="20"/>
                <w:szCs w:val="20"/>
                <w:color w:val="auto"/>
              </w:rPr>
            </w:pPr>
            <w:r>
              <w:rPr>
                <w:rFonts w:ascii="Arial" w:cs="Arial" w:eastAsia="Arial" w:hAnsi="Arial"/>
                <w:sz w:val="18"/>
                <w:szCs w:val="18"/>
                <w:b w:val="1"/>
                <w:bCs w:val="1"/>
                <w:color w:val="auto"/>
              </w:rPr>
              <w:t>Other current liabilities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(2,764)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13,355</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Long-term employee related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640"/>
              <w:spacing w:after="0"/>
              <w:rPr>
                <w:sz w:val="20"/>
                <w:szCs w:val="20"/>
                <w:color w:val="auto"/>
              </w:rPr>
            </w:pPr>
            <w:r>
              <w:rPr>
                <w:rFonts w:ascii="Arial" w:cs="Arial" w:eastAsia="Arial" w:hAnsi="Arial"/>
                <w:sz w:val="18"/>
                <w:szCs w:val="18"/>
                <w:b w:val="1"/>
                <w:bCs w:val="1"/>
                <w:color w:val="auto"/>
              </w:rPr>
              <w:t>Deferred tax,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(5,151)</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69,471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76,929</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103,916(c)</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(40,892)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(40,148)</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marketable securities and other assets, net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(4,899)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(15,488)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(49,869)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80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(45,791)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(55,636)</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(91,577)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b w:val="1"/>
                <w:bCs w:val="1"/>
                <w:color w:val="auto"/>
              </w:rPr>
              <w:t>Debt received (repaid),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(43,078)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3,809</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(15,932)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 net</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1,027</w:t>
            </w:r>
          </w:p>
        </w:tc>
        <w:tc>
          <w:tcPr>
            <w:tcW w:w="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8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(43,057)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3,835</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(3,057)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(2,909)</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(630)</w:t>
            </w:r>
          </w:p>
        </w:tc>
        <w:tc>
          <w:tcPr>
            <w:tcW w:w="0" w:type="dxa"/>
            <w:vAlign w:val="bottom"/>
          </w:tcPr>
          <w:p>
            <w:pPr>
              <w:spacing w:after="0"/>
              <w:rPr>
                <w:sz w:val="1"/>
                <w:szCs w:val="1"/>
                <w:color w:val="auto"/>
              </w:rPr>
            </w:pPr>
          </w:p>
        </w:tc>
      </w:tr>
      <w:tr>
        <w:trPr>
          <w:trHeight w:val="21"/>
        </w:trPr>
        <w:tc>
          <w:tcPr>
            <w:tcW w:w="7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(22,434)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22,219</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(3,196)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486,880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464,661</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483,603</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72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60" w:type="dxa"/>
            <w:vAlign w:val="bottom"/>
            <w:tcBorders>
              <w:top w:val="single" w:sz="8" w:color="auto"/>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464,446</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486,880</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480,407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right="860" w:hanging="322"/>
        <w:spacing w:after="0" w:line="282" w:lineRule="auto"/>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cash provided by operating activities for the three months ended September 30, 2017 included $18,000 received from Tacoma as announced on August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TOWER SEMICONDUCTOR LTD. AND SUBSIDIARIES CONDENSED CONSOLIDATED STATEMENTS OF CASH FLOWS (UNAUDITED)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 for the period</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96,864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153,014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160,234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157,101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b w:val="1"/>
                <w:bCs w:val="1"/>
                <w:color w:val="auto"/>
              </w:rPr>
              <w:t>Effect of indexation, translation and fair value measurement on debt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(5,749)</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expense,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(1,564)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(14,029)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8,164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Inventories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(16,642)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1,221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(6,143)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b w:val="1"/>
                <w:bCs w:val="1"/>
                <w:color w:val="auto"/>
              </w:rPr>
              <w:t>Other current liabilities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6,372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Long-term employee related liabilities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b w:val="1"/>
                <w:bCs w:val="1"/>
                <w:color w:val="auto"/>
              </w:rPr>
              <w:t>Deferred tax,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(6,893)</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(8,929)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221,401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270,350(d)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(121,087)</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marketable securities and other assets,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(35,350)</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(49,869)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80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(156,437)</w:t>
            </w: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(173,237)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(45,925)</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28,037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160"/>
              <w:spacing w:after="0"/>
              <w:rPr>
                <w:sz w:val="20"/>
                <w:szCs w:val="20"/>
                <w:color w:val="auto"/>
              </w:rPr>
            </w:pPr>
            <w:r>
              <w:rPr>
                <w:rFonts w:ascii="Arial" w:cs="Arial" w:eastAsia="Arial" w:hAnsi="Arial"/>
                <w:sz w:val="18"/>
                <w:szCs w:val="18"/>
                <w:b w:val="1"/>
                <w:bCs w:val="1"/>
                <w:color w:val="auto"/>
              </w:rPr>
              <w:t>Dividend paid to Panasonic</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Net cash used in financing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(45,220)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(9,733)</w:t>
            </w: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(1,259)</w:t>
            </w:r>
          </w:p>
        </w:tc>
        <w:tc>
          <w:tcPr>
            <w:tcW w:w="2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 IN CASH AND SHORT-TERM DEPOSITS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91,030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CASH AND SHORT-TERM DEPOSITS - BEGINNING OF PERIOD</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445,961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389,377</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464,446</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480,407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right="880" w:hanging="352"/>
        <w:spacing w:after="0" w:line="282" w:lineRule="auto"/>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cash provided by operating activities for the nine months ended September 30, 2017 included $18,000 received from Tacoma as announced on August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448945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lvl w:ilvl="1">
      <w:lvlJc w:val="left"/>
      <w:lvlText w:val="§"/>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1)"/>
      <w:numFmt w:val="lowerRoman"/>
      <w:start w:val="7"/>
    </w:lvl>
  </w:abstractNum>
  <w:abstractNum w:abstractNumId="4">
    <w:nsid w:val="507ED7AB"/>
    <w:multiLevelType w:val="hybridMultilevel"/>
    <w:lvl w:ilvl="0">
      <w:lvlJc w:val="left"/>
      <w:lvlText w:val="(%1)"/>
      <w:numFmt w:val="lowerRoman"/>
      <w:start w:val="12"/>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2019-12-06T03:00:12Z</dcterms:created>
  <dcterms:modified xsi:type="dcterms:W3CDTF">2019-12-06T03:00:12Z</dcterms:modified>
</cp:coreProperties>
</file>